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0CD0" w14:textId="77777777" w:rsidR="00E20194" w:rsidRPr="00B43B5C" w:rsidRDefault="00E20194" w:rsidP="00E20194">
      <w:pPr>
        <w:rPr>
          <w:bCs/>
          <w:sz w:val="32"/>
          <w:szCs w:val="32"/>
        </w:rPr>
      </w:pPr>
      <w:bookmarkStart w:id="0" w:name="_GoBack"/>
      <w:bookmarkEnd w:id="0"/>
      <w:r w:rsidRPr="00B43B5C">
        <w:rPr>
          <w:bCs/>
          <w:sz w:val="32"/>
          <w:szCs w:val="32"/>
        </w:rPr>
        <w:t xml:space="preserve">Annex </w:t>
      </w:r>
      <w:r>
        <w:rPr>
          <w:bCs/>
          <w:sz w:val="32"/>
          <w:szCs w:val="32"/>
        </w:rPr>
        <w:t>1</w:t>
      </w:r>
      <w:r w:rsidRPr="00B43B5C">
        <w:rPr>
          <w:bCs/>
          <w:sz w:val="32"/>
          <w:szCs w:val="32"/>
        </w:rPr>
        <w:t xml:space="preserve">. Out of Area Placements Protocol </w:t>
      </w:r>
    </w:p>
    <w:p w14:paraId="12244455" w14:textId="77777777" w:rsidR="00E20194" w:rsidRDefault="00E20194" w:rsidP="006D63B0">
      <w:pPr>
        <w:rPr>
          <w:b/>
          <w:sz w:val="24"/>
          <w:szCs w:val="24"/>
          <w:lang w:eastAsia="en-GB"/>
        </w:rPr>
      </w:pPr>
    </w:p>
    <w:p w14:paraId="145E3045" w14:textId="77777777" w:rsidR="00B1441A" w:rsidRPr="00E20194" w:rsidRDefault="00B1441A" w:rsidP="006D63B0">
      <w:pPr>
        <w:rPr>
          <w:b/>
          <w:sz w:val="28"/>
          <w:szCs w:val="28"/>
          <w:lang w:eastAsia="en-GB"/>
        </w:rPr>
      </w:pPr>
      <w:r w:rsidRPr="00E20194">
        <w:rPr>
          <w:b/>
          <w:sz w:val="28"/>
          <w:szCs w:val="28"/>
          <w:lang w:eastAsia="en-GB"/>
        </w:rPr>
        <w:t>Minimum standards of space and location</w:t>
      </w:r>
    </w:p>
    <w:p w14:paraId="7C6E942A" w14:textId="77777777" w:rsidR="00B1441A" w:rsidRDefault="00B1441A" w:rsidP="006D63B0">
      <w:pPr>
        <w:rPr>
          <w:lang w:eastAsia="en-GB"/>
        </w:rPr>
      </w:pPr>
    </w:p>
    <w:p w14:paraId="39370BF0" w14:textId="77777777" w:rsidR="006D63B0" w:rsidRPr="006D63B0" w:rsidRDefault="00B1441A" w:rsidP="006D63B0">
      <w:pPr>
        <w:rPr>
          <w:lang w:eastAsia="en-GB"/>
        </w:rPr>
      </w:pPr>
      <w:r>
        <w:rPr>
          <w:lang w:eastAsia="en-GB"/>
        </w:rPr>
        <w:t>The following minimum standards are required when accommodating households out of their existing local housing authority area</w:t>
      </w:r>
      <w:r w:rsidR="001C7CD9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0FD1D99F" w14:textId="77777777" w:rsidR="00B1441A" w:rsidRDefault="00B1441A" w:rsidP="0032557A">
      <w:pPr>
        <w:rPr>
          <w:b/>
          <w:sz w:val="24"/>
          <w:szCs w:val="24"/>
        </w:rPr>
      </w:pPr>
    </w:p>
    <w:p w14:paraId="00965DAA" w14:textId="77777777" w:rsidR="0032557A" w:rsidRPr="00D73F21" w:rsidRDefault="0032557A" w:rsidP="0032557A">
      <w:pPr>
        <w:rPr>
          <w:b/>
          <w:sz w:val="24"/>
          <w:szCs w:val="24"/>
        </w:rPr>
      </w:pPr>
      <w:r w:rsidRPr="00F567DC">
        <w:rPr>
          <w:b/>
          <w:sz w:val="24"/>
          <w:szCs w:val="24"/>
        </w:rPr>
        <w:t>Space Standards</w:t>
      </w:r>
    </w:p>
    <w:p w14:paraId="2393FF60" w14:textId="77777777" w:rsidR="00AC238E" w:rsidRDefault="00AC238E" w:rsidP="0032557A">
      <w:pPr>
        <w:rPr>
          <w:b/>
        </w:rPr>
      </w:pPr>
    </w:p>
    <w:p w14:paraId="7FB8DDB0" w14:textId="3EEB349A" w:rsidR="00AC238E" w:rsidRDefault="006E6D22" w:rsidP="006D63B0">
      <w:pPr>
        <w:pStyle w:val="ListParagraph"/>
        <w:numPr>
          <w:ilvl w:val="0"/>
          <w:numId w:val="4"/>
        </w:numPr>
      </w:pPr>
      <w:r>
        <w:t>R</w:t>
      </w:r>
      <w:r w:rsidRPr="006E6D22">
        <w:t>ooms must have a minimum floor to ceiling height of at least 2.14 meters over not less than 75% of the room area</w:t>
      </w:r>
    </w:p>
    <w:p w14:paraId="721DB025" w14:textId="5D6D48E7" w:rsidR="006D63B0" w:rsidRPr="00AC238E" w:rsidRDefault="006B3FC7" w:rsidP="006D63B0">
      <w:pPr>
        <w:pStyle w:val="ListParagraph"/>
        <w:numPr>
          <w:ilvl w:val="0"/>
          <w:numId w:val="4"/>
        </w:numPr>
      </w:pPr>
      <w:r>
        <w:rPr>
          <w:color w:val="000000" w:themeColor="text1"/>
        </w:rPr>
        <w:t xml:space="preserve">Rooms must have a minimum width of </w:t>
      </w:r>
      <w:r w:rsidR="00AC238E" w:rsidRPr="001A462D">
        <w:rPr>
          <w:color w:val="000000" w:themeColor="text1"/>
        </w:rPr>
        <w:t xml:space="preserve">2.15 </w:t>
      </w:r>
      <w:r w:rsidR="00AC238E">
        <w:t>meters</w:t>
      </w:r>
    </w:p>
    <w:p w14:paraId="77FB5FC4" w14:textId="77777777" w:rsidR="0032557A" w:rsidRPr="00930732" w:rsidRDefault="0032557A" w:rsidP="0032557A">
      <w:pPr>
        <w:rPr>
          <w:b/>
        </w:rPr>
      </w:pPr>
      <w:r>
        <w:rPr>
          <w:b/>
        </w:rPr>
        <w:t>Sleeping Areas</w:t>
      </w:r>
    </w:p>
    <w:tbl>
      <w:tblPr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3"/>
        <w:gridCol w:w="3866"/>
      </w:tblGrid>
      <w:tr w:rsidR="0032557A" w:rsidRPr="0014354C" w14:paraId="6F134C27" w14:textId="77777777" w:rsidTr="00BE1EF3">
        <w:trPr>
          <w:trHeight w:val="315"/>
        </w:trPr>
        <w:tc>
          <w:tcPr>
            <w:tcW w:w="25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000000" w:fill="C0504D"/>
          </w:tcPr>
          <w:p w14:paraId="0195EACD" w14:textId="77777777" w:rsidR="0032557A" w:rsidRPr="00041DC4" w:rsidRDefault="0032557A" w:rsidP="00BE1EF3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Number of persons</w:t>
            </w:r>
          </w:p>
        </w:tc>
        <w:tc>
          <w:tcPr>
            <w:tcW w:w="3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000000" w:fill="C0504D"/>
            <w:vAlign w:val="center"/>
            <w:hideMark/>
          </w:tcPr>
          <w:p w14:paraId="6F5D730A" w14:textId="77777777" w:rsidR="0032557A" w:rsidRPr="0014354C" w:rsidRDefault="0032557A" w:rsidP="00BE1EF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Minimum sizes (square meters)</w:t>
            </w:r>
          </w:p>
        </w:tc>
      </w:tr>
      <w:tr w:rsidR="0032557A" w:rsidRPr="00041DC4" w14:paraId="3BCF9F36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</w:tcPr>
          <w:p w14:paraId="525D73C5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  <w:vAlign w:val="center"/>
            <w:hideMark/>
          </w:tcPr>
          <w:p w14:paraId="662F334B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10.22</w:t>
            </w:r>
          </w:p>
        </w:tc>
      </w:tr>
      <w:tr w:rsidR="0032557A" w:rsidRPr="00041DC4" w14:paraId="3A573512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</w:tcPr>
          <w:p w14:paraId="271BA1BA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Pr="00E932CB">
              <w:rPr>
                <w:sz w:val="16"/>
                <w:szCs w:val="16"/>
                <w:lang w:eastAsia="en-GB"/>
              </w:rPr>
              <w:t>1/2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  <w:vAlign w:val="center"/>
            <w:hideMark/>
          </w:tcPr>
          <w:p w14:paraId="6A181E81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8.36</w:t>
            </w:r>
          </w:p>
        </w:tc>
      </w:tr>
      <w:tr w:rsidR="0032557A" w:rsidRPr="00041DC4" w14:paraId="13309AB7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</w:tcPr>
          <w:p w14:paraId="3E9BD732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  <w:vAlign w:val="center"/>
            <w:hideMark/>
          </w:tcPr>
          <w:p w14:paraId="7B9B62F7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6.51</w:t>
            </w:r>
          </w:p>
        </w:tc>
      </w:tr>
      <w:tr w:rsidR="0032557A" w14:paraId="03AE908E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</w:tcPr>
          <w:p w14:paraId="4AAC110F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 w:rsidRPr="00E932CB">
              <w:rPr>
                <w:sz w:val="16"/>
                <w:szCs w:val="16"/>
                <w:lang w:eastAsia="en-GB"/>
              </w:rPr>
              <w:t>1/2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  <w:vAlign w:val="center"/>
            <w:hideMark/>
          </w:tcPr>
          <w:p w14:paraId="4617373A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4.64</w:t>
            </w:r>
          </w:p>
        </w:tc>
      </w:tr>
    </w:tbl>
    <w:p w14:paraId="5AEC3AF3" w14:textId="77777777" w:rsidR="001A462D" w:rsidRDefault="00175FE1" w:rsidP="00175FE1">
      <w:pPr>
        <w:rPr>
          <w:sz w:val="20"/>
          <w:szCs w:val="20"/>
        </w:rPr>
      </w:pPr>
      <w:r w:rsidRPr="00175FE1">
        <w:rPr>
          <w:sz w:val="20"/>
          <w:szCs w:val="20"/>
        </w:rPr>
        <w:t>*</w:t>
      </w:r>
      <w:r w:rsidR="001A462D" w:rsidRPr="001A462D">
        <w:rPr>
          <w:b/>
          <w:sz w:val="20"/>
          <w:szCs w:val="20"/>
        </w:rPr>
        <w:t xml:space="preserve">Taken from </w:t>
      </w:r>
      <w:r w:rsidR="00662A32">
        <w:rPr>
          <w:b/>
          <w:sz w:val="20"/>
          <w:szCs w:val="20"/>
        </w:rPr>
        <w:t xml:space="preserve">Homelessness </w:t>
      </w:r>
      <w:r w:rsidR="001A462D" w:rsidRPr="001A462D">
        <w:rPr>
          <w:b/>
          <w:sz w:val="20"/>
          <w:szCs w:val="20"/>
        </w:rPr>
        <w:t>Code of Guidance</w:t>
      </w:r>
    </w:p>
    <w:p w14:paraId="339E724A" w14:textId="77777777" w:rsidR="0032557A" w:rsidRPr="00175FE1" w:rsidRDefault="001A462D" w:rsidP="00175FE1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32557A" w:rsidRPr="00175FE1">
        <w:rPr>
          <w:b/>
          <w:sz w:val="20"/>
          <w:szCs w:val="20"/>
        </w:rPr>
        <w:t>Children under the age of one are not considered</w:t>
      </w:r>
    </w:p>
    <w:p w14:paraId="60935DF1" w14:textId="77777777" w:rsidR="0032557A" w:rsidRPr="00175FE1" w:rsidRDefault="00175FE1" w:rsidP="00175FE1">
      <w:pPr>
        <w:rPr>
          <w:b/>
          <w:sz w:val="20"/>
          <w:szCs w:val="20"/>
          <w:lang w:eastAsia="en-GB"/>
        </w:rPr>
      </w:pPr>
      <w:r w:rsidRPr="00175FE1">
        <w:rPr>
          <w:b/>
          <w:sz w:val="20"/>
          <w:szCs w:val="20"/>
          <w:lang w:eastAsia="en-GB"/>
        </w:rPr>
        <w:t>*</w:t>
      </w:r>
      <w:r w:rsidR="0032557A" w:rsidRPr="00175FE1">
        <w:rPr>
          <w:b/>
          <w:sz w:val="20"/>
          <w:szCs w:val="20"/>
          <w:lang w:eastAsia="en-GB"/>
        </w:rPr>
        <w:t xml:space="preserve">1/2 </w:t>
      </w:r>
      <w:r>
        <w:rPr>
          <w:b/>
          <w:sz w:val="20"/>
          <w:szCs w:val="20"/>
          <w:lang w:eastAsia="en-GB"/>
        </w:rPr>
        <w:t>-</w:t>
      </w:r>
      <w:r w:rsidR="0032557A" w:rsidRPr="00175FE1">
        <w:rPr>
          <w:b/>
          <w:sz w:val="20"/>
          <w:szCs w:val="20"/>
          <w:lang w:eastAsia="en-GB"/>
        </w:rPr>
        <w:t xml:space="preserve"> </w:t>
      </w:r>
      <w:r>
        <w:rPr>
          <w:b/>
          <w:sz w:val="20"/>
          <w:szCs w:val="20"/>
          <w:lang w:eastAsia="en-GB"/>
        </w:rPr>
        <w:t>C</w:t>
      </w:r>
      <w:r w:rsidR="0032557A" w:rsidRPr="00175FE1">
        <w:rPr>
          <w:b/>
          <w:sz w:val="20"/>
          <w:szCs w:val="20"/>
          <w:lang w:eastAsia="en-GB"/>
        </w:rPr>
        <w:t>hildren between the age of 1 and 10</w:t>
      </w:r>
    </w:p>
    <w:p w14:paraId="1087D752" w14:textId="77777777" w:rsidR="00175FE1" w:rsidRPr="00175FE1" w:rsidRDefault="00175FE1" w:rsidP="00175FE1">
      <w:pPr>
        <w:rPr>
          <w:lang w:eastAsia="en-GB"/>
        </w:rPr>
      </w:pPr>
    </w:p>
    <w:p w14:paraId="465C266D" w14:textId="77777777" w:rsidR="0032557A" w:rsidRPr="0032557A" w:rsidRDefault="0032557A" w:rsidP="00175FE1">
      <w:pPr>
        <w:rPr>
          <w:b/>
        </w:rPr>
      </w:pPr>
      <w:r>
        <w:rPr>
          <w:b/>
        </w:rPr>
        <w:t>Living Areas</w:t>
      </w:r>
      <w:r w:rsidR="00B1441A">
        <w:rPr>
          <w:b/>
        </w:rPr>
        <w:t xml:space="preserve"> (including living rooms and kitchen diners)</w:t>
      </w:r>
    </w:p>
    <w:tbl>
      <w:tblPr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3"/>
        <w:gridCol w:w="3866"/>
      </w:tblGrid>
      <w:tr w:rsidR="0032557A" w:rsidRPr="0014354C" w14:paraId="48520B40" w14:textId="77777777" w:rsidTr="00BE1EF3">
        <w:trPr>
          <w:trHeight w:val="315"/>
        </w:trPr>
        <w:tc>
          <w:tcPr>
            <w:tcW w:w="25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000000" w:fill="C0504D"/>
          </w:tcPr>
          <w:p w14:paraId="583B01EE" w14:textId="77777777" w:rsidR="0032557A" w:rsidRPr="00041DC4" w:rsidRDefault="0032557A" w:rsidP="00BE1EF3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Number of bed</w:t>
            </w:r>
            <w:r w:rsidR="00B1441A">
              <w:rPr>
                <w:b/>
                <w:bCs/>
                <w:lang w:eastAsia="en-GB"/>
              </w:rPr>
              <w:t>room</w:t>
            </w:r>
            <w:r>
              <w:rPr>
                <w:b/>
                <w:bCs/>
                <w:lang w:eastAsia="en-GB"/>
              </w:rPr>
              <w:t>s</w:t>
            </w:r>
            <w:r w:rsidR="00B1441A">
              <w:rPr>
                <w:b/>
                <w:bCs/>
                <w:lang w:eastAsia="en-GB"/>
              </w:rPr>
              <w:t xml:space="preserve"> in property</w:t>
            </w:r>
          </w:p>
        </w:tc>
        <w:tc>
          <w:tcPr>
            <w:tcW w:w="3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000000" w:fill="C0504D"/>
            <w:vAlign w:val="center"/>
            <w:hideMark/>
          </w:tcPr>
          <w:p w14:paraId="6AC5FB99" w14:textId="77777777" w:rsidR="0032557A" w:rsidRPr="0014354C" w:rsidRDefault="0032557A" w:rsidP="00BE1EF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Minimum sizes (square meters)</w:t>
            </w:r>
          </w:p>
        </w:tc>
      </w:tr>
      <w:tr w:rsidR="0032557A" w14:paraId="7674EDF7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</w:tcPr>
          <w:p w14:paraId="0E867B08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2+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000000" w:fill="F2DBDB"/>
            <w:vAlign w:val="center"/>
            <w:hideMark/>
          </w:tcPr>
          <w:p w14:paraId="582AA125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6.51</w:t>
            </w:r>
          </w:p>
        </w:tc>
      </w:tr>
      <w:tr w:rsidR="0032557A" w14:paraId="5B1C8674" w14:textId="77777777" w:rsidTr="00BE1EF3">
        <w:trPr>
          <w:trHeight w:val="315"/>
        </w:trPr>
        <w:tc>
          <w:tcPr>
            <w:tcW w:w="2513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</w:tcPr>
          <w:p w14:paraId="7EDA21A6" w14:textId="77777777" w:rsidR="0032557A" w:rsidRPr="00041DC4" w:rsidRDefault="0032557A" w:rsidP="00BE1EF3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auto"/>
            <w:vAlign w:val="center"/>
            <w:hideMark/>
          </w:tcPr>
          <w:p w14:paraId="1149E680" w14:textId="77777777" w:rsidR="0032557A" w:rsidRDefault="0032557A" w:rsidP="00BE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4.64</w:t>
            </w:r>
          </w:p>
        </w:tc>
      </w:tr>
    </w:tbl>
    <w:p w14:paraId="705EF4B1" w14:textId="77777777" w:rsidR="00CF78BC" w:rsidRDefault="00CF78BC" w:rsidP="00CF78BC">
      <w:pPr>
        <w:ind w:left="360"/>
        <w:rPr>
          <w:lang w:eastAsia="en-GB"/>
        </w:rPr>
      </w:pPr>
    </w:p>
    <w:p w14:paraId="05DE215E" w14:textId="49F3EED4" w:rsidR="00CF78BC" w:rsidRPr="006E6D22" w:rsidRDefault="006E6D22" w:rsidP="00CF78BC">
      <w:pPr>
        <w:rPr>
          <w:bCs/>
        </w:rPr>
      </w:pPr>
      <w:r>
        <w:rPr>
          <w:bCs/>
        </w:rPr>
        <w:t>Separate l</w:t>
      </w:r>
      <w:r w:rsidRPr="006E6D22">
        <w:rPr>
          <w:bCs/>
        </w:rPr>
        <w:t xml:space="preserve">iving </w:t>
      </w:r>
      <w:r>
        <w:rPr>
          <w:bCs/>
        </w:rPr>
        <w:t xml:space="preserve">areas are not required in accommodation let as rooms or studio flats. However, such accommodation would be overcrowded according to the bedroom standard if let to families.  </w:t>
      </w:r>
    </w:p>
    <w:p w14:paraId="75926E84" w14:textId="77777777" w:rsidR="006E6D22" w:rsidRDefault="006E6D22" w:rsidP="00CF78BC">
      <w:pPr>
        <w:rPr>
          <w:b/>
        </w:rPr>
      </w:pPr>
    </w:p>
    <w:p w14:paraId="35B2B864" w14:textId="77777777" w:rsidR="00120187" w:rsidRDefault="00120187" w:rsidP="00120187">
      <w:pPr>
        <w:rPr>
          <w:b/>
          <w:sz w:val="24"/>
          <w:szCs w:val="24"/>
          <w:lang w:eastAsia="en-GB"/>
        </w:rPr>
      </w:pPr>
      <w:r w:rsidRPr="00AC238E">
        <w:rPr>
          <w:b/>
          <w:sz w:val="24"/>
          <w:szCs w:val="24"/>
          <w:lang w:eastAsia="en-GB"/>
        </w:rPr>
        <w:t>Walking Distance to Convenience Store &amp; Regular Transport Link</w:t>
      </w:r>
      <w:r w:rsidR="003F4673">
        <w:rPr>
          <w:b/>
          <w:sz w:val="24"/>
          <w:szCs w:val="24"/>
          <w:lang w:eastAsia="en-GB"/>
        </w:rPr>
        <w:t>s</w:t>
      </w:r>
      <w:r w:rsidR="00113E00">
        <w:rPr>
          <w:b/>
          <w:sz w:val="24"/>
          <w:szCs w:val="24"/>
          <w:lang w:eastAsia="en-GB"/>
        </w:rPr>
        <w:t xml:space="preserve"> for households reliant on public transport</w:t>
      </w:r>
    </w:p>
    <w:p w14:paraId="2458925F" w14:textId="77777777" w:rsidR="00B1441A" w:rsidRDefault="00B1441A" w:rsidP="00120187">
      <w:pPr>
        <w:rPr>
          <w:b/>
          <w:sz w:val="24"/>
          <w:szCs w:val="24"/>
          <w:lang w:eastAsia="en-GB"/>
        </w:rPr>
      </w:pPr>
    </w:p>
    <w:p w14:paraId="74F40945" w14:textId="216AE0BE" w:rsidR="00B1441A" w:rsidRPr="00B1441A" w:rsidRDefault="00B1441A" w:rsidP="00120187">
      <w:pPr>
        <w:rPr>
          <w:lang w:eastAsia="en-GB"/>
        </w:rPr>
      </w:pPr>
      <w:r w:rsidRPr="00B1441A">
        <w:rPr>
          <w:lang w:eastAsia="en-GB"/>
        </w:rPr>
        <w:t>Thes</w:t>
      </w:r>
      <w:r>
        <w:rPr>
          <w:lang w:eastAsia="en-GB"/>
        </w:rPr>
        <w:t>e maximum distances</w:t>
      </w:r>
      <w:r w:rsidRPr="00B1441A">
        <w:rPr>
          <w:lang w:eastAsia="en-GB"/>
        </w:rPr>
        <w:t xml:space="preserve"> apply</w:t>
      </w:r>
      <w:r>
        <w:rPr>
          <w:lang w:eastAsia="en-GB"/>
        </w:rPr>
        <w:t xml:space="preserve"> to households where no household members have mobility problems. Households with mobility problems </w:t>
      </w:r>
      <w:r w:rsidR="00FB2CD2">
        <w:rPr>
          <w:lang w:eastAsia="en-GB"/>
        </w:rPr>
        <w:t>may</w:t>
      </w:r>
      <w:r>
        <w:rPr>
          <w:lang w:eastAsia="en-GB"/>
        </w:rPr>
        <w:t xml:space="preserve"> require closer access and this should be considered as part of suitability assessments.   </w:t>
      </w:r>
      <w:r w:rsidRPr="00B1441A">
        <w:rPr>
          <w:lang w:eastAsia="en-GB"/>
        </w:rPr>
        <w:t xml:space="preserve"> </w:t>
      </w:r>
    </w:p>
    <w:p w14:paraId="51149633" w14:textId="77777777" w:rsidR="00C6057B" w:rsidRPr="00120187" w:rsidRDefault="00C6057B" w:rsidP="00120187">
      <w:pPr>
        <w:rPr>
          <w:b/>
          <w:lang w:eastAsia="en-GB"/>
        </w:rPr>
      </w:pPr>
    </w:p>
    <w:p w14:paraId="1DD2FF5E" w14:textId="77777777" w:rsidR="00C6057B" w:rsidRPr="00C6057B" w:rsidRDefault="00C6057B" w:rsidP="00C6057B">
      <w:pPr>
        <w:numPr>
          <w:ilvl w:val="0"/>
          <w:numId w:val="2"/>
        </w:numPr>
        <w:rPr>
          <w:rFonts w:asciiTheme="minorHAnsi" w:eastAsia="Times New Roman" w:hAnsiTheme="minorHAnsi" w:cstheme="minorHAnsi"/>
          <w:lang w:val="en" w:eastAsia="en-GB"/>
        </w:rPr>
      </w:pPr>
      <w:r w:rsidRPr="00120187">
        <w:rPr>
          <w:b/>
          <w:lang w:eastAsia="en-GB"/>
        </w:rPr>
        <w:t>Convenience Store</w:t>
      </w:r>
    </w:p>
    <w:p w14:paraId="70FFD032" w14:textId="06FA5203" w:rsidR="00C6057B" w:rsidRDefault="004C62DC" w:rsidP="00C6057B">
      <w:pPr>
        <w:ind w:left="720"/>
        <w:rPr>
          <w:rFonts w:asciiTheme="minorHAnsi" w:eastAsia="Times New Roman" w:hAnsiTheme="minorHAnsi" w:cstheme="minorHAnsi"/>
          <w:lang w:val="en" w:eastAsia="en-GB"/>
        </w:rPr>
      </w:pPr>
      <w:r>
        <w:rPr>
          <w:rFonts w:asciiTheme="minorHAnsi" w:eastAsia="Times New Roman" w:hAnsiTheme="minorHAnsi" w:cstheme="minorHAnsi"/>
          <w:lang w:val="en" w:eastAsia="en-GB"/>
        </w:rPr>
        <w:t>W</w:t>
      </w:r>
      <w:r w:rsidR="00876B7A">
        <w:rPr>
          <w:rFonts w:asciiTheme="minorHAnsi" w:eastAsia="Times New Roman" w:hAnsiTheme="minorHAnsi" w:cstheme="minorHAnsi"/>
          <w:lang w:val="en" w:eastAsia="en-GB"/>
        </w:rPr>
        <w:t xml:space="preserve">ithin 30 minutes by a combination of walking and public transport </w:t>
      </w:r>
      <w:r w:rsidR="00876B7A">
        <w:rPr>
          <w:rFonts w:asciiTheme="minorHAnsi" w:eastAsia="Times New Roman" w:hAnsiTheme="minorHAnsi" w:cstheme="minorHAnsi"/>
          <w:lang w:val="en" w:eastAsia="en-GB"/>
        </w:rPr>
        <w:br/>
      </w:r>
    </w:p>
    <w:p w14:paraId="20E3144A" w14:textId="77777777" w:rsidR="00C6057B" w:rsidRPr="00C6057B" w:rsidRDefault="00C6057B" w:rsidP="00C6057B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b/>
          <w:lang w:val="en" w:eastAsia="en-GB"/>
        </w:rPr>
      </w:pPr>
      <w:r w:rsidRPr="00C6057B">
        <w:rPr>
          <w:rFonts w:asciiTheme="minorHAnsi" w:eastAsia="Times New Roman" w:hAnsiTheme="minorHAnsi" w:cstheme="minorHAnsi"/>
          <w:b/>
          <w:lang w:val="en" w:eastAsia="en-GB"/>
        </w:rPr>
        <w:t>Regular Transport Link</w:t>
      </w:r>
      <w:r w:rsidR="003F4673">
        <w:rPr>
          <w:rFonts w:asciiTheme="minorHAnsi" w:eastAsia="Times New Roman" w:hAnsiTheme="minorHAnsi" w:cstheme="minorHAnsi"/>
          <w:b/>
          <w:lang w:val="en" w:eastAsia="en-GB"/>
        </w:rPr>
        <w:t>s</w:t>
      </w:r>
    </w:p>
    <w:p w14:paraId="5F98A7C8" w14:textId="2E57CD67" w:rsidR="00C6057B" w:rsidRDefault="004C62DC" w:rsidP="00C6057B">
      <w:pPr>
        <w:ind w:left="720"/>
        <w:rPr>
          <w:rFonts w:asciiTheme="minorHAnsi" w:eastAsia="Times New Roman" w:hAnsiTheme="minorHAnsi" w:cstheme="minorHAnsi"/>
          <w:lang w:val="en" w:eastAsia="en-GB"/>
        </w:rPr>
      </w:pPr>
      <w:r>
        <w:rPr>
          <w:rFonts w:asciiTheme="minorHAnsi" w:eastAsia="Times New Roman" w:hAnsiTheme="minorHAnsi" w:cstheme="minorHAnsi"/>
          <w:lang w:val="en" w:eastAsia="en-GB"/>
        </w:rPr>
        <w:t xml:space="preserve">Within </w:t>
      </w:r>
      <w:r w:rsidR="00C6057B" w:rsidRPr="00120187">
        <w:rPr>
          <w:rFonts w:asciiTheme="minorHAnsi" w:eastAsia="Times New Roman" w:hAnsiTheme="minorHAnsi" w:cstheme="minorHAnsi"/>
          <w:lang w:val="en" w:eastAsia="en-GB"/>
        </w:rPr>
        <w:t>1</w:t>
      </w:r>
      <w:r w:rsidR="00741512">
        <w:rPr>
          <w:rFonts w:asciiTheme="minorHAnsi" w:eastAsia="Times New Roman" w:hAnsiTheme="minorHAnsi" w:cstheme="minorHAnsi"/>
          <w:lang w:val="en" w:eastAsia="en-GB"/>
        </w:rPr>
        <w:t>0</w:t>
      </w:r>
      <w:r w:rsidR="00C6057B" w:rsidRPr="00120187">
        <w:rPr>
          <w:rFonts w:asciiTheme="minorHAnsi" w:eastAsia="Times New Roman" w:hAnsiTheme="minorHAnsi" w:cstheme="minorHAnsi"/>
          <w:lang w:val="en" w:eastAsia="en-GB"/>
        </w:rPr>
        <w:t xml:space="preserve"> to </w:t>
      </w:r>
      <w:r w:rsidR="00741512">
        <w:rPr>
          <w:rFonts w:asciiTheme="minorHAnsi" w:eastAsia="Times New Roman" w:hAnsiTheme="minorHAnsi" w:cstheme="minorHAnsi"/>
          <w:lang w:val="en" w:eastAsia="en-GB"/>
        </w:rPr>
        <w:t>15</w:t>
      </w:r>
      <w:r w:rsidR="00C6057B" w:rsidRPr="00120187">
        <w:rPr>
          <w:rFonts w:asciiTheme="minorHAnsi" w:eastAsia="Times New Roman" w:hAnsiTheme="minorHAnsi" w:cstheme="minorHAnsi"/>
          <w:lang w:val="en" w:eastAsia="en-GB"/>
        </w:rPr>
        <w:t xml:space="preserve"> minutes to walk at a moderate pace</w:t>
      </w:r>
    </w:p>
    <w:p w14:paraId="7E69873C" w14:textId="12B76B55" w:rsidR="00CF78BC" w:rsidRDefault="00C6057B" w:rsidP="00E20194">
      <w:pPr>
        <w:ind w:left="720"/>
        <w:rPr>
          <w:lang w:eastAsia="en-GB"/>
        </w:rPr>
      </w:pPr>
      <w:r>
        <w:rPr>
          <w:rFonts w:asciiTheme="minorHAnsi" w:eastAsia="Times New Roman" w:hAnsiTheme="minorHAnsi" w:cstheme="minorHAnsi"/>
          <w:lang w:val="en" w:eastAsia="en-GB"/>
        </w:rPr>
        <w:t xml:space="preserve">Service runs </w:t>
      </w:r>
      <w:r w:rsidR="00756CF3">
        <w:rPr>
          <w:rFonts w:asciiTheme="minorHAnsi" w:eastAsia="Times New Roman" w:hAnsiTheme="minorHAnsi" w:cstheme="minorHAnsi"/>
          <w:lang w:val="en" w:eastAsia="en-GB"/>
        </w:rPr>
        <w:t xml:space="preserve">between 06:30AM and 8:30PM Monday to Friday </w:t>
      </w:r>
    </w:p>
    <w:p w14:paraId="3175F1FF" w14:textId="77777777" w:rsidR="00CF78BC" w:rsidRPr="00930732" w:rsidRDefault="00CF78BC" w:rsidP="00CF78BC">
      <w:pPr>
        <w:rPr>
          <w:lang w:eastAsia="en-GB"/>
        </w:rPr>
      </w:pPr>
    </w:p>
    <w:p w14:paraId="14D19E61" w14:textId="77777777" w:rsidR="00197BB5" w:rsidRDefault="00197BB5"/>
    <w:sectPr w:rsidR="00197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4778" w14:textId="77777777" w:rsidR="00316061" w:rsidRDefault="00316061" w:rsidP="00823D3A">
      <w:r>
        <w:separator/>
      </w:r>
    </w:p>
  </w:endnote>
  <w:endnote w:type="continuationSeparator" w:id="0">
    <w:p w14:paraId="04DC8DFB" w14:textId="77777777" w:rsidR="00316061" w:rsidRDefault="00316061" w:rsidP="008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A254" w14:textId="77777777" w:rsidR="00823D3A" w:rsidRDefault="0082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9D24" w14:textId="77777777" w:rsidR="00823D3A" w:rsidRDefault="0082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000A" w14:textId="77777777" w:rsidR="00823D3A" w:rsidRDefault="0082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A6D6" w14:textId="77777777" w:rsidR="00316061" w:rsidRDefault="00316061" w:rsidP="00823D3A">
      <w:r>
        <w:separator/>
      </w:r>
    </w:p>
  </w:footnote>
  <w:footnote w:type="continuationSeparator" w:id="0">
    <w:p w14:paraId="3FECEB4C" w14:textId="77777777" w:rsidR="00316061" w:rsidRDefault="00316061" w:rsidP="0082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A8D7" w14:textId="77777777" w:rsidR="00823D3A" w:rsidRDefault="0082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153943"/>
      <w:docPartObj>
        <w:docPartGallery w:val="Watermarks"/>
        <w:docPartUnique/>
      </w:docPartObj>
    </w:sdtPr>
    <w:sdtEndPr/>
    <w:sdtContent>
      <w:p w14:paraId="7276AB4F" w14:textId="77777777" w:rsidR="00823D3A" w:rsidRDefault="008B391D">
        <w:pPr>
          <w:pStyle w:val="Header"/>
        </w:pPr>
        <w:r>
          <w:rPr>
            <w:noProof/>
            <w:lang w:val="en-US" w:eastAsia="zh-TW"/>
          </w:rPr>
          <w:pict w14:anchorId="73F6B5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BB28" w14:textId="77777777" w:rsidR="00823D3A" w:rsidRDefault="0082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E83"/>
    <w:multiLevelType w:val="hybridMultilevel"/>
    <w:tmpl w:val="269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21F"/>
    <w:multiLevelType w:val="hybridMultilevel"/>
    <w:tmpl w:val="C652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F34"/>
    <w:multiLevelType w:val="multilevel"/>
    <w:tmpl w:val="FDD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13E0C"/>
    <w:multiLevelType w:val="hybridMultilevel"/>
    <w:tmpl w:val="20B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59"/>
    <w:rsid w:val="00044DEC"/>
    <w:rsid w:val="000934FD"/>
    <w:rsid w:val="00113E00"/>
    <w:rsid w:val="00120187"/>
    <w:rsid w:val="00175FE1"/>
    <w:rsid w:val="00197BB5"/>
    <w:rsid w:val="001A462D"/>
    <w:rsid w:val="001C7CD9"/>
    <w:rsid w:val="0023626D"/>
    <w:rsid w:val="00316061"/>
    <w:rsid w:val="003233BF"/>
    <w:rsid w:val="0032557A"/>
    <w:rsid w:val="003310FC"/>
    <w:rsid w:val="003F4673"/>
    <w:rsid w:val="00457CB2"/>
    <w:rsid w:val="00485B32"/>
    <w:rsid w:val="004C62DC"/>
    <w:rsid w:val="00662A32"/>
    <w:rsid w:val="00667A63"/>
    <w:rsid w:val="006839A3"/>
    <w:rsid w:val="006B320F"/>
    <w:rsid w:val="006B3FC7"/>
    <w:rsid w:val="006D4E05"/>
    <w:rsid w:val="006D63B0"/>
    <w:rsid w:val="006E6D22"/>
    <w:rsid w:val="006F5306"/>
    <w:rsid w:val="00741512"/>
    <w:rsid w:val="00752CAB"/>
    <w:rsid w:val="00756CF3"/>
    <w:rsid w:val="007F7C59"/>
    <w:rsid w:val="00823D3A"/>
    <w:rsid w:val="00832685"/>
    <w:rsid w:val="00876B7A"/>
    <w:rsid w:val="008B391D"/>
    <w:rsid w:val="008D3BC1"/>
    <w:rsid w:val="009420DD"/>
    <w:rsid w:val="009C6812"/>
    <w:rsid w:val="00A44D5A"/>
    <w:rsid w:val="00A52BEF"/>
    <w:rsid w:val="00AC238E"/>
    <w:rsid w:val="00B1441A"/>
    <w:rsid w:val="00B628DA"/>
    <w:rsid w:val="00C3421E"/>
    <w:rsid w:val="00C6057B"/>
    <w:rsid w:val="00C9487A"/>
    <w:rsid w:val="00CF78BC"/>
    <w:rsid w:val="00D31815"/>
    <w:rsid w:val="00D57922"/>
    <w:rsid w:val="00D73F21"/>
    <w:rsid w:val="00DB08A3"/>
    <w:rsid w:val="00DB34DF"/>
    <w:rsid w:val="00E20194"/>
    <w:rsid w:val="00F2685F"/>
    <w:rsid w:val="00F567DC"/>
    <w:rsid w:val="00FA67B1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15A828"/>
  <w15:docId w15:val="{1771033E-C77B-4E0D-A336-F1777B74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5F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187"/>
    <w:rPr>
      <w:b/>
      <w:bCs/>
    </w:rPr>
  </w:style>
  <w:style w:type="character" w:customStyle="1" w:styleId="mntl-inline-citation">
    <w:name w:val="mntl-inline-citation"/>
    <w:basedOn w:val="DefaultParagraphFont"/>
    <w:rsid w:val="00120187"/>
  </w:style>
  <w:style w:type="character" w:styleId="Hyperlink">
    <w:name w:val="Hyperlink"/>
    <w:basedOn w:val="DefaultParagraphFont"/>
    <w:uiPriority w:val="99"/>
    <w:semiHidden/>
    <w:unhideWhenUsed/>
    <w:rsid w:val="00120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3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2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8CB5530E0964A821EA3F3E17299B6" ma:contentTypeVersion="6" ma:contentTypeDescription="Create a new document." ma:contentTypeScope="" ma:versionID="eaa91a15458943325e3bda93932a82bf">
  <xsd:schema xmlns:xsd="http://www.w3.org/2001/XMLSchema" xmlns:xs="http://www.w3.org/2001/XMLSchema" xmlns:p="http://schemas.microsoft.com/office/2006/metadata/properties" xmlns:ns2="62583977-3e0b-4f5c-b6cb-a6859cc1a380" xmlns:ns3="90afd111-81ff-4eb0-a9e2-41d5e089355d" targetNamespace="http://schemas.microsoft.com/office/2006/metadata/properties" ma:root="true" ma:fieldsID="fc48d47311fe9e26b8873895889f1cf9" ns2:_="" ns3:_="">
    <xsd:import namespace="62583977-3e0b-4f5c-b6cb-a6859cc1a380"/>
    <xsd:import namespace="90afd111-81ff-4eb0-a9e2-41d5e0893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3977-3e0b-4f5c-b6cb-a6859cc1a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d111-81ff-4eb0-a9e2-41d5e089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afd111-81ff-4eb0-a9e2-41d5e089355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D5F1FB-442E-48B8-B942-EDB3A02F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3977-3e0b-4f5c-b6cb-a6859cc1a380"/>
    <ds:schemaRef ds:uri="90afd111-81ff-4eb0-a9e2-41d5e089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BC864-9FCB-4E98-837E-81BE6276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4A592-9CEE-41F9-8699-59AB8FA70B4F}">
  <ds:schemaRefs>
    <ds:schemaRef ds:uri="http://schemas.microsoft.com/office/2006/metadata/properties"/>
    <ds:schemaRef ds:uri="http://schemas.microsoft.com/office/infopath/2007/PartnerControls"/>
    <ds:schemaRef ds:uri="90afd111-81ff-4eb0-a9e2-41d5e0893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Drury</dc:creator>
  <cp:lastModifiedBy>Richard Kember</cp:lastModifiedBy>
  <cp:revision>5</cp:revision>
  <dcterms:created xsi:type="dcterms:W3CDTF">2020-12-19T21:34:00Z</dcterms:created>
  <dcterms:modified xsi:type="dcterms:W3CDTF">2021-01-05T10:22:00Z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0x0101003938CB5530E0964A821EA3F3E17299B6</vt:lpwstr>
  </property>
  <property fmtid="{D5CDD505-2E9C-101B-9397-08002B2CF9AE}" pid="3" name="Order">
    <vt:r8>272800</vt:r8>
  </property>
  <property fmtid="{D5CDD505-2E9C-101B-9397-08002B2CF9AE}" pid="4" name="ComplianceAssetId">
    <vt:lpwstr/>
  </property>
</Properties>
</file>